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A18" w:rsidRPr="00933A18" w:rsidRDefault="00F81DCC" w:rsidP="00933A18">
      <w:pPr>
        <w:spacing w:line="360" w:lineRule="auto"/>
        <w:ind w:left="0" w:firstLine="0"/>
        <w:rPr>
          <w:rFonts w:eastAsia="Times New Roman"/>
          <w:color w:val="auto"/>
        </w:rPr>
      </w:pPr>
      <w:bookmarkStart w:id="0" w:name="_GoBack"/>
      <w:r w:rsidRPr="00933A18">
        <w:rPr>
          <w:rFonts w:eastAsia="Times New Roman"/>
          <w:color w:val="auto"/>
        </w:rPr>
        <w:t xml:space="preserve">Zasady finansowania kształcenia ustawicznego z </w:t>
      </w:r>
      <w:r w:rsidR="00D010D2">
        <w:rPr>
          <w:rFonts w:eastAsia="Times New Roman"/>
          <w:color w:val="auto"/>
        </w:rPr>
        <w:t>KFS</w:t>
      </w:r>
      <w:r>
        <w:rPr>
          <w:rFonts w:eastAsia="Times New Roman"/>
          <w:color w:val="auto"/>
        </w:rPr>
        <w:t xml:space="preserve"> w 2026 roku</w:t>
      </w:r>
    </w:p>
    <w:bookmarkEnd w:id="0"/>
    <w:p w:rsidR="00933A18" w:rsidRPr="00933A18" w:rsidRDefault="00933A18" w:rsidP="00933A18">
      <w:pPr>
        <w:spacing w:line="360" w:lineRule="auto"/>
        <w:ind w:left="0" w:firstLine="0"/>
        <w:rPr>
          <w:rFonts w:eastAsia="Times New Roman"/>
          <w:color w:val="auto"/>
        </w:rPr>
      </w:pP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xml:space="preserve">1. </w:t>
      </w:r>
      <w:r w:rsidR="00F81DCC" w:rsidRPr="00933A18">
        <w:rPr>
          <w:rFonts w:eastAsia="Times New Roman"/>
          <w:color w:val="auto"/>
        </w:rPr>
        <w:t>Procedura składania wniosków</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Od 2026 roku ubieganie się o wsparcie z Krajowego Funduszu Szkoleniowego (KFS) odbywa się wyłącznie drogą elektroniczną. Wnioski należy składać poprzez indywidualne konto na portalu praca.gov.pl do Powiatowego Urzędu Pracy (PUP) właściwego ze względu na siedzibę firmy lub miejsce prowadzenia działalności.</w:t>
      </w:r>
    </w:p>
    <w:p w:rsidR="00933A18" w:rsidRPr="00933A18" w:rsidRDefault="00933A18" w:rsidP="00933A18">
      <w:pPr>
        <w:spacing w:line="360" w:lineRule="auto"/>
        <w:ind w:left="0" w:firstLine="0"/>
        <w:rPr>
          <w:rFonts w:eastAsia="Times New Roman"/>
          <w:color w:val="auto"/>
        </w:rPr>
      </w:pP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xml:space="preserve">2. </w:t>
      </w:r>
      <w:r w:rsidR="00334B77" w:rsidRPr="00933A18">
        <w:rPr>
          <w:rFonts w:eastAsia="Times New Roman"/>
          <w:color w:val="auto"/>
        </w:rPr>
        <w:t>Kto może skorzystać ze wsparcia?</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O dofinansowanie mogą ubiegać się podmioty, które przez co najmniej 6 miesięcy przed złożeniem wniosku opłacały składki na Fundusz Pracy (lub są z nich ustawowo zwolnione). Pomocą mogą zostać objęci:</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pracownicy i pracodawcy,</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osoby fizyczne prowadzące działalność gospodarczą,</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osoby świadczące usługi na podstawie umów cywilnoprawnych.</w:t>
      </w:r>
    </w:p>
    <w:p w:rsidR="00933A18" w:rsidRPr="00933A18" w:rsidRDefault="00933A18" w:rsidP="00933A18">
      <w:pPr>
        <w:spacing w:line="360" w:lineRule="auto"/>
        <w:ind w:left="0" w:firstLine="0"/>
        <w:rPr>
          <w:rFonts w:eastAsia="Times New Roman"/>
          <w:color w:val="auto"/>
        </w:rPr>
      </w:pP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xml:space="preserve">3. </w:t>
      </w:r>
      <w:r w:rsidR="00334B77" w:rsidRPr="00933A18">
        <w:rPr>
          <w:rFonts w:eastAsia="Times New Roman"/>
          <w:color w:val="auto"/>
        </w:rPr>
        <w:t>Zakres dofinansowania</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Środki mogą zostać przeznaczone na:</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kursy i szkolenia (wyłącznie realizowane przez podmioty wpisane do Rejestru Podmiotów Świadczących Usługi Rozwojowe PARP),</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studia podyplomowe,</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egzaminy certyfikujące wiedzę i umiejętności,</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badania lekarskie i psychologiczne wymagane do nauki lub pracy,</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ubezpieczenie NNW uczestników w związku z kształceniem.</w:t>
      </w:r>
    </w:p>
    <w:p w:rsidR="00933A18" w:rsidRPr="00933A18" w:rsidRDefault="00933A18" w:rsidP="00933A18">
      <w:pPr>
        <w:spacing w:line="360" w:lineRule="auto"/>
        <w:ind w:left="0" w:firstLine="0"/>
        <w:rPr>
          <w:rFonts w:eastAsia="Times New Roman"/>
          <w:color w:val="auto"/>
        </w:rPr>
      </w:pP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xml:space="preserve">4. </w:t>
      </w:r>
      <w:r w:rsidR="00334B77" w:rsidRPr="00933A18">
        <w:rPr>
          <w:rFonts w:eastAsia="Times New Roman"/>
          <w:color w:val="auto"/>
        </w:rPr>
        <w:t>Limit i wysokość wsparcia (na uczestnika)</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Mikroprzedsiębiorstwa (do 9 etatów) i samozatrudnieni: do 90% kosztów (maksymalnie 200% przeciętnego wynagrodzenia).</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Pozostałe podmioty: do 70% kosztów (maksymalnie 200% przeciętnego wynagrodzenia).</w:t>
      </w:r>
    </w:p>
    <w:p w:rsidR="00933A18" w:rsidRDefault="00933A18" w:rsidP="00933A18">
      <w:pPr>
        <w:spacing w:line="360" w:lineRule="auto"/>
        <w:ind w:left="0" w:firstLine="0"/>
        <w:rPr>
          <w:rFonts w:eastAsia="Times New Roman"/>
          <w:color w:val="auto"/>
        </w:rPr>
      </w:pPr>
    </w:p>
    <w:p w:rsidR="00933A18" w:rsidRPr="00933A18" w:rsidRDefault="00933A18" w:rsidP="00933A18">
      <w:pPr>
        <w:spacing w:line="360" w:lineRule="auto"/>
        <w:ind w:left="0" w:firstLine="0"/>
        <w:rPr>
          <w:rFonts w:eastAsia="Times New Roman"/>
          <w:color w:val="auto"/>
        </w:rPr>
      </w:pP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lastRenderedPageBreak/>
        <w:t xml:space="preserve">5. </w:t>
      </w:r>
      <w:r w:rsidR="00334B77" w:rsidRPr="00933A18">
        <w:rPr>
          <w:rFonts w:eastAsia="Times New Roman"/>
          <w:color w:val="auto"/>
        </w:rPr>
        <w:t>Roczne limity dla wnioskodawców</w:t>
      </w:r>
      <w:r>
        <w:rPr>
          <w:rFonts w:eastAsia="Times New Roman"/>
          <w:color w:val="auto"/>
        </w:rPr>
        <w:t>:</w:t>
      </w:r>
    </w:p>
    <w:p w:rsidR="00933A18" w:rsidRPr="00933A18" w:rsidRDefault="00933A18" w:rsidP="00933A18">
      <w:pPr>
        <w:spacing w:line="360" w:lineRule="auto"/>
        <w:ind w:left="0" w:firstLine="0"/>
        <w:rPr>
          <w:rFonts w:eastAsia="Times New Roman"/>
          <w:color w:val="auto"/>
        </w:rPr>
      </w:pPr>
      <w:r>
        <w:rPr>
          <w:rFonts w:eastAsia="Times New Roman"/>
          <w:color w:val="auto"/>
        </w:rPr>
        <w:t>• d</w:t>
      </w:r>
      <w:r w:rsidRPr="00933A18">
        <w:rPr>
          <w:rFonts w:eastAsia="Times New Roman"/>
          <w:color w:val="auto"/>
        </w:rPr>
        <w:t>o 9 pracownikó</w:t>
      </w:r>
      <w:r>
        <w:rPr>
          <w:rFonts w:eastAsia="Times New Roman"/>
          <w:color w:val="auto"/>
        </w:rPr>
        <w:t>w / samozatrudnieni: 4-krotność przeciętnego wynagrodzenia</w:t>
      </w:r>
    </w:p>
    <w:p w:rsidR="00933A18" w:rsidRPr="00933A18" w:rsidRDefault="00933A18" w:rsidP="00933A18">
      <w:pPr>
        <w:spacing w:line="360" w:lineRule="auto"/>
        <w:ind w:left="0" w:firstLine="0"/>
        <w:rPr>
          <w:rFonts w:eastAsia="Times New Roman"/>
          <w:color w:val="auto"/>
        </w:rPr>
      </w:pPr>
      <w:r>
        <w:rPr>
          <w:rFonts w:eastAsia="Times New Roman"/>
          <w:color w:val="auto"/>
        </w:rPr>
        <w:t>• o</w:t>
      </w:r>
      <w:r w:rsidRPr="00933A18">
        <w:rPr>
          <w:rFonts w:eastAsia="Times New Roman"/>
          <w:color w:val="auto"/>
        </w:rPr>
        <w:t>d 1</w:t>
      </w:r>
      <w:r>
        <w:rPr>
          <w:rFonts w:eastAsia="Times New Roman"/>
          <w:color w:val="auto"/>
        </w:rPr>
        <w:t>0 do 49 pracowników: 8-krotność przeciętnego wynagrodzenia</w:t>
      </w:r>
    </w:p>
    <w:p w:rsidR="00933A18" w:rsidRPr="00933A18" w:rsidRDefault="00933A18" w:rsidP="00933A18">
      <w:pPr>
        <w:spacing w:line="360" w:lineRule="auto"/>
        <w:ind w:left="0" w:firstLine="0"/>
        <w:rPr>
          <w:rFonts w:eastAsia="Times New Roman"/>
          <w:color w:val="auto"/>
        </w:rPr>
      </w:pPr>
      <w:r>
        <w:rPr>
          <w:rFonts w:eastAsia="Times New Roman"/>
          <w:color w:val="auto"/>
        </w:rPr>
        <w:t>• o</w:t>
      </w:r>
      <w:r w:rsidRPr="00933A18">
        <w:rPr>
          <w:rFonts w:eastAsia="Times New Roman"/>
          <w:color w:val="auto"/>
        </w:rPr>
        <w:t xml:space="preserve">d 50 </w:t>
      </w:r>
      <w:r>
        <w:rPr>
          <w:rFonts w:eastAsia="Times New Roman"/>
          <w:color w:val="auto"/>
        </w:rPr>
        <w:t>do 249 pracowników: 12-krotność</w:t>
      </w:r>
      <w:r w:rsidRPr="00933A18">
        <w:rPr>
          <w:rFonts w:eastAsia="Times New Roman"/>
          <w:color w:val="auto"/>
        </w:rPr>
        <w:t xml:space="preserve"> </w:t>
      </w:r>
      <w:r>
        <w:rPr>
          <w:rFonts w:eastAsia="Times New Roman"/>
          <w:color w:val="auto"/>
        </w:rPr>
        <w:t>przeciętnego wynagrodzenia</w:t>
      </w:r>
    </w:p>
    <w:p w:rsidR="00933A18" w:rsidRPr="00933A18" w:rsidRDefault="00933A18" w:rsidP="00933A18">
      <w:pPr>
        <w:spacing w:line="360" w:lineRule="auto"/>
        <w:ind w:left="0" w:firstLine="0"/>
        <w:rPr>
          <w:rFonts w:eastAsia="Times New Roman"/>
          <w:color w:val="auto"/>
        </w:rPr>
      </w:pPr>
      <w:r>
        <w:rPr>
          <w:rFonts w:eastAsia="Times New Roman"/>
          <w:color w:val="auto"/>
        </w:rPr>
        <w:t>• p</w:t>
      </w:r>
      <w:r w:rsidRPr="00933A18">
        <w:rPr>
          <w:rFonts w:eastAsia="Times New Roman"/>
          <w:color w:val="auto"/>
        </w:rPr>
        <w:t>owyż</w:t>
      </w:r>
      <w:r>
        <w:rPr>
          <w:rFonts w:eastAsia="Times New Roman"/>
          <w:color w:val="auto"/>
        </w:rPr>
        <w:t>ej 249 pracowników: 14-krotność</w:t>
      </w:r>
      <w:r w:rsidRPr="00933A18">
        <w:rPr>
          <w:rFonts w:eastAsia="Times New Roman"/>
          <w:color w:val="auto"/>
        </w:rPr>
        <w:t xml:space="preserve"> </w:t>
      </w:r>
      <w:r>
        <w:rPr>
          <w:rFonts w:eastAsia="Times New Roman"/>
          <w:color w:val="auto"/>
        </w:rPr>
        <w:t>przeciętnego wynagrodzenia</w:t>
      </w:r>
    </w:p>
    <w:p w:rsidR="00933A18" w:rsidRPr="00933A18" w:rsidRDefault="00933A18" w:rsidP="00933A18">
      <w:pPr>
        <w:spacing w:line="360" w:lineRule="auto"/>
        <w:ind w:left="0" w:firstLine="0"/>
        <w:rPr>
          <w:rFonts w:eastAsia="Times New Roman"/>
          <w:color w:val="auto"/>
        </w:rPr>
      </w:pP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xml:space="preserve">6. </w:t>
      </w:r>
      <w:r w:rsidR="00334B77" w:rsidRPr="00933A18">
        <w:rPr>
          <w:rFonts w:eastAsia="Times New Roman"/>
          <w:color w:val="auto"/>
        </w:rPr>
        <w:t>Wyłączenia i ograniczenia</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Finansowanie nie zostanie przyznane podmiotom, które:</w:t>
      </w:r>
    </w:p>
    <w:p w:rsidR="00933A18" w:rsidRPr="00933A18" w:rsidRDefault="00933A18" w:rsidP="00933A18">
      <w:pPr>
        <w:spacing w:line="360" w:lineRule="auto"/>
        <w:ind w:left="0" w:firstLine="0"/>
        <w:rPr>
          <w:rFonts w:eastAsia="Times New Roman"/>
          <w:color w:val="auto"/>
        </w:rPr>
      </w:pPr>
      <w:r>
        <w:rPr>
          <w:rFonts w:eastAsia="Times New Roman"/>
          <w:color w:val="auto"/>
        </w:rPr>
        <w:t>• p</w:t>
      </w:r>
      <w:r w:rsidRPr="00933A18">
        <w:rPr>
          <w:rFonts w:eastAsia="Times New Roman"/>
          <w:color w:val="auto"/>
        </w:rPr>
        <w:t>osiadają zaległości podatkowe lub składkowe (ZUS, KRUS, PFRON itp.).</w:t>
      </w:r>
    </w:p>
    <w:p w:rsidR="00933A18" w:rsidRPr="00933A18" w:rsidRDefault="00933A18" w:rsidP="00933A18">
      <w:pPr>
        <w:spacing w:line="360" w:lineRule="auto"/>
        <w:ind w:left="0" w:firstLine="0"/>
        <w:rPr>
          <w:rFonts w:eastAsia="Times New Roman"/>
          <w:color w:val="auto"/>
        </w:rPr>
      </w:pPr>
      <w:r>
        <w:rPr>
          <w:rFonts w:eastAsia="Times New Roman"/>
          <w:color w:val="auto"/>
        </w:rPr>
        <w:t>• s</w:t>
      </w:r>
      <w:r w:rsidRPr="00933A18">
        <w:rPr>
          <w:rFonts w:eastAsia="Times New Roman"/>
          <w:color w:val="auto"/>
        </w:rPr>
        <w:t>ą w stanie upadłości, likwidacji lub pod zarządem komisarycznym.</w:t>
      </w:r>
    </w:p>
    <w:p w:rsidR="00933A18" w:rsidRPr="00933A18" w:rsidRDefault="00933A18" w:rsidP="00933A18">
      <w:pPr>
        <w:spacing w:line="360" w:lineRule="auto"/>
        <w:ind w:left="0" w:firstLine="0"/>
        <w:rPr>
          <w:rFonts w:eastAsia="Times New Roman"/>
          <w:color w:val="auto"/>
        </w:rPr>
      </w:pPr>
      <w:r>
        <w:rPr>
          <w:rFonts w:eastAsia="Times New Roman"/>
          <w:color w:val="auto"/>
        </w:rPr>
        <w:t>• n</w:t>
      </w:r>
      <w:r w:rsidRPr="00933A18">
        <w:rPr>
          <w:rFonts w:eastAsia="Times New Roman"/>
          <w:color w:val="auto"/>
        </w:rPr>
        <w:t>aruszyły umowę o środki KFS w ciągu ostatnich 3 lat.</w:t>
      </w:r>
    </w:p>
    <w:p w:rsidR="00933A18" w:rsidRPr="00933A18" w:rsidRDefault="00933A18" w:rsidP="00933A18">
      <w:pPr>
        <w:spacing w:line="360" w:lineRule="auto"/>
        <w:ind w:left="0" w:firstLine="0"/>
        <w:rPr>
          <w:rFonts w:eastAsia="Times New Roman"/>
          <w:color w:val="auto"/>
        </w:rPr>
      </w:pPr>
      <w:r>
        <w:rPr>
          <w:rFonts w:eastAsia="Times New Roman"/>
          <w:color w:val="auto"/>
        </w:rPr>
        <w:t>• m</w:t>
      </w:r>
      <w:r w:rsidRPr="00933A18">
        <w:rPr>
          <w:rFonts w:eastAsia="Times New Roman"/>
          <w:color w:val="auto"/>
        </w:rPr>
        <w:t>ają sądowy zakaz korzystania ze środków publicznych.</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Środków nie można przeznaczyć na działania już dofinansowane z innych źródeł, szkolenia obowiązkowe z mocy prawa lub rozpoczęte przed podpisaniem umowy.</w:t>
      </w:r>
    </w:p>
    <w:p w:rsidR="00933A18" w:rsidRPr="00933A18" w:rsidRDefault="00933A18" w:rsidP="00933A18">
      <w:pPr>
        <w:spacing w:line="360" w:lineRule="auto"/>
        <w:ind w:left="0" w:firstLine="0"/>
        <w:rPr>
          <w:rFonts w:eastAsia="Times New Roman"/>
          <w:color w:val="auto"/>
        </w:rPr>
      </w:pPr>
      <w:r w:rsidRPr="00933A18">
        <w:rPr>
          <w:rFonts w:eastAsia="Times New Roman"/>
          <w:color w:val="auto"/>
        </w:rPr>
        <w:t xml:space="preserve">7. </w:t>
      </w:r>
      <w:r w:rsidR="00166F83" w:rsidRPr="00933A18">
        <w:rPr>
          <w:rFonts w:eastAsia="Times New Roman"/>
          <w:color w:val="auto"/>
        </w:rPr>
        <w:t>Zobowiązania po zakończeniu kształcenia</w:t>
      </w:r>
    </w:p>
    <w:p w:rsidR="006E4280" w:rsidRPr="00933A18" w:rsidRDefault="00933A18" w:rsidP="00933A18">
      <w:pPr>
        <w:spacing w:line="360" w:lineRule="auto"/>
        <w:ind w:left="0" w:firstLine="0"/>
      </w:pPr>
      <w:r w:rsidRPr="00933A18">
        <w:rPr>
          <w:rFonts w:eastAsia="Times New Roman"/>
          <w:color w:val="auto"/>
        </w:rPr>
        <w:t>Podmiot jest zobowiązany do utrzymania zatrudnienia lub współpracy z uczestnikiem przez minimum 3 miesiące od daty zakończenia kształcenia. Przedsiębiorca korzystający ze wsparcia nie może w tym czasie zawiesić ani zamknąć działalności.</w:t>
      </w:r>
    </w:p>
    <w:sectPr w:rsidR="006E4280" w:rsidRPr="00933A18" w:rsidSect="008905A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EF8"/>
    <w:multiLevelType w:val="multilevel"/>
    <w:tmpl w:val="308A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771C0"/>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839A3"/>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5051"/>
    <w:multiLevelType w:val="multilevel"/>
    <w:tmpl w:val="15E8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B1467"/>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34443"/>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E5EA7"/>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07ED4"/>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7507B"/>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06EDB"/>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414A8"/>
    <w:multiLevelType w:val="multilevel"/>
    <w:tmpl w:val="6A9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8"/>
  </w:num>
  <w:num w:numId="5">
    <w:abstractNumId w:val="4"/>
  </w:num>
  <w:num w:numId="6">
    <w:abstractNumId w:val="9"/>
  </w:num>
  <w:num w:numId="7">
    <w:abstractNumId w:val="2"/>
  </w:num>
  <w:num w:numId="8">
    <w:abstractNumId w:val="6"/>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A1"/>
    <w:rsid w:val="00166F83"/>
    <w:rsid w:val="00334B77"/>
    <w:rsid w:val="006E4280"/>
    <w:rsid w:val="008905A1"/>
    <w:rsid w:val="008D06D3"/>
    <w:rsid w:val="00933A18"/>
    <w:rsid w:val="00D010D2"/>
    <w:rsid w:val="00F81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AC5B"/>
  <w15:chartTrackingRefBased/>
  <w15:docId w15:val="{4BB5D3D0-ED54-4AA3-8604-701C8DD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05A1"/>
    <w:pPr>
      <w:spacing w:after="116" w:line="363" w:lineRule="auto"/>
      <w:ind w:left="1145" w:hanging="576"/>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05A1"/>
    <w:pPr>
      <w:ind w:left="720"/>
      <w:contextualSpacing/>
    </w:pPr>
  </w:style>
  <w:style w:type="paragraph" w:styleId="NormalnyWeb">
    <w:name w:val="Normal (Web)"/>
    <w:basedOn w:val="Normalny"/>
    <w:uiPriority w:val="99"/>
    <w:semiHidden/>
    <w:unhideWhenUsed/>
    <w:rsid w:val="00933A1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ipercze">
    <w:name w:val="Hyperlink"/>
    <w:basedOn w:val="Domylnaczcionkaakapitu"/>
    <w:uiPriority w:val="99"/>
    <w:semiHidden/>
    <w:unhideWhenUsed/>
    <w:rsid w:val="00933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6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2136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2026-03-25T10:50:00Z</dcterms:created>
  <dcterms:modified xsi:type="dcterms:W3CDTF">2026-03-25T10:50:00Z</dcterms:modified>
</cp:coreProperties>
</file>