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E6D7F" w:rsidRDefault="001A6794" w:rsidP="00DE6D7F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523ED5" w:rsidRPr="00523ED5">
        <w:rPr>
          <w:rFonts w:eastAsia="Times New Roman" w:cstheme="minorHAnsi"/>
          <w:b/>
          <w:sz w:val="24"/>
          <w:szCs w:val="24"/>
          <w:lang w:eastAsia="pl-PL"/>
        </w:rPr>
        <w:t>Obsługa wózków podnośnikowych z mechanicznym napędem podnoszenia</w:t>
      </w:r>
      <w:r w:rsidR="00F43076" w:rsidRPr="001C2336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 w:rsidR="007C6758">
        <w:rPr>
          <w:rFonts w:cstheme="minorHAnsi"/>
          <w:sz w:val="24"/>
          <w:szCs w:val="24"/>
        </w:rPr>
        <w:t xml:space="preserve"> </w:t>
      </w:r>
      <w:r w:rsidR="007C6758" w:rsidRPr="001C2336">
        <w:rPr>
          <w:rFonts w:cstheme="minorHAnsi"/>
          <w:sz w:val="24"/>
          <w:szCs w:val="24"/>
        </w:rPr>
        <w:t>w ramach projektu „</w:t>
      </w:r>
      <w:r w:rsidR="009E1EAE">
        <w:rPr>
          <w:rFonts w:cstheme="minorHAnsi"/>
          <w:sz w:val="24"/>
          <w:szCs w:val="24"/>
        </w:rPr>
        <w:t>Aktywizacja zawodowa bezrobotnych powiatu miechowskiego FEM (I</w:t>
      </w:r>
      <w:r w:rsidR="00DA3019">
        <w:rPr>
          <w:rFonts w:cstheme="minorHAnsi"/>
          <w:sz w:val="24"/>
          <w:szCs w:val="24"/>
        </w:rPr>
        <w:t>II</w:t>
      </w:r>
      <w:r w:rsidR="007C6758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7C6758">
        <w:rPr>
          <w:rFonts w:cstheme="minorHAnsi"/>
          <w:sz w:val="24"/>
          <w:szCs w:val="24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zgodny z </w:t>
      </w:r>
      <w:r w:rsidR="00E07A44" w:rsidRPr="00353388">
        <w:t>ustawą z dnia 4 lutego 2011</w:t>
      </w:r>
      <w:r w:rsidR="00E07A44">
        <w:t xml:space="preserve"> </w:t>
      </w:r>
      <w:r w:rsidR="00E07A44" w:rsidRPr="00353388">
        <w:t>r. o opiece nad dziećmi w wieku do lat 3 oraz Rozporządzenia Ministra Pracy i Polityki Społecznej z dnia 25 marca 2011</w:t>
      </w:r>
      <w:r w:rsidR="00E07A44">
        <w:t xml:space="preserve"> </w:t>
      </w:r>
      <w:r w:rsidR="00E07A44" w:rsidRPr="00353388">
        <w:t>r. w sprawie zakresu programów szkoleń dla opiekuna w żłobku lub klubie dziecięcym, wolontariusza oraz dziennego opiekuna</w:t>
      </w:r>
    </w:p>
    <w:p w:rsidR="00523ED5" w:rsidRPr="00523ED5" w:rsidRDefault="00523ED5" w:rsidP="00523ED5">
      <w:pPr>
        <w:spacing w:after="0" w:line="276" w:lineRule="auto"/>
        <w:rPr>
          <w:rFonts w:cstheme="minorHAnsi"/>
        </w:rPr>
      </w:pPr>
      <w:r w:rsidRPr="00523ED5">
        <w:rPr>
          <w:rFonts w:cstheme="minorHAnsi"/>
        </w:rPr>
        <w:t xml:space="preserve">Program szkolenia obejmie </w:t>
      </w:r>
      <w:r w:rsidR="00E569EB">
        <w:rPr>
          <w:rFonts w:cstheme="minorHAnsi"/>
        </w:rPr>
        <w:t xml:space="preserve">co najmniej </w:t>
      </w:r>
      <w:r w:rsidRPr="00523ED5">
        <w:rPr>
          <w:rFonts w:cstheme="minorHAnsi"/>
          <w:b/>
          <w:bCs/>
        </w:rPr>
        <w:t>4</w:t>
      </w:r>
      <w:r w:rsidR="00E569EB">
        <w:rPr>
          <w:rFonts w:cstheme="minorHAnsi"/>
          <w:b/>
          <w:bCs/>
        </w:rPr>
        <w:t>0</w:t>
      </w:r>
      <w:r w:rsidRPr="00523ED5">
        <w:rPr>
          <w:rFonts w:cstheme="minorHAnsi"/>
        </w:rPr>
        <w:t xml:space="preserve"> </w:t>
      </w:r>
      <w:r w:rsidRPr="00523ED5">
        <w:rPr>
          <w:rFonts w:cstheme="minorHAnsi"/>
          <w:b/>
          <w:bCs/>
        </w:rPr>
        <w:t>godzin</w:t>
      </w:r>
      <w:r w:rsidRPr="00523ED5">
        <w:rPr>
          <w:rFonts w:cstheme="minorHAnsi"/>
        </w:rPr>
        <w:t xml:space="preserve">, w ramach których Wykonawca przeznaczy </w:t>
      </w:r>
      <w:r w:rsidR="00E569EB">
        <w:rPr>
          <w:rFonts w:cstheme="minorHAnsi"/>
        </w:rPr>
        <w:t>40</w:t>
      </w:r>
      <w:r w:rsidR="00E569EB">
        <w:rPr>
          <w:rFonts w:cstheme="minorHAnsi"/>
          <w:b/>
          <w:bCs/>
        </w:rPr>
        <w:t xml:space="preserve"> godzin</w:t>
      </w:r>
      <w:bookmarkStart w:id="0" w:name="_GoBack"/>
      <w:bookmarkEnd w:id="0"/>
      <w:r w:rsidRPr="00523ED5">
        <w:rPr>
          <w:rFonts w:cstheme="minorHAnsi"/>
        </w:rPr>
        <w:t xml:space="preserve"> na realizację zagadnień z zakresu </w:t>
      </w:r>
      <w:r w:rsidRPr="00523ED5">
        <w:rPr>
          <w:rFonts w:cstheme="minorHAnsi"/>
          <w:bCs/>
        </w:rPr>
        <w:t>kierowcy operatora wózków jezdniowych podnośnikowych z mechanicznym napędem podnoszenia z wyłączeniem wózków z wysięgnikiem oraz wózków z osobą obsługującą podnoszoną wraz z ładunkiem z egzaminem UDT</w:t>
      </w:r>
      <w:r w:rsidRPr="00523ED5">
        <w:rPr>
          <w:rFonts w:cstheme="minorHAnsi"/>
        </w:rPr>
        <w:t xml:space="preserve"> i </w:t>
      </w:r>
      <w:r w:rsidRPr="00523ED5">
        <w:rPr>
          <w:rFonts w:cstheme="minorHAnsi"/>
          <w:b/>
          <w:bCs/>
        </w:rPr>
        <w:t>1 godzinę</w:t>
      </w:r>
      <w:r w:rsidRPr="00523ED5">
        <w:rPr>
          <w:rFonts w:cstheme="minorHAnsi"/>
        </w:rPr>
        <w:t xml:space="preserve"> na przedstawienie zagadnień związanych z zieloną i cyfrową transformacją oraz zawierał będzie następujące zagadnienia: 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ind w:left="714" w:hanging="357"/>
        <w:rPr>
          <w:rFonts w:cstheme="minorHAnsi"/>
        </w:rPr>
      </w:pPr>
      <w:r w:rsidRPr="00523ED5">
        <w:rPr>
          <w:rFonts w:cstheme="minorHAnsi"/>
        </w:rPr>
        <w:t>Zasady BHP, PPOŻ i pierwszej pomocy,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ind w:left="714" w:hanging="357"/>
        <w:rPr>
          <w:rFonts w:cstheme="minorHAnsi"/>
        </w:rPr>
      </w:pPr>
      <w:r w:rsidRPr="00523ED5">
        <w:rPr>
          <w:rFonts w:cstheme="minorHAnsi"/>
        </w:rPr>
        <w:t>Wiadomości o dozorze technicznym,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 xml:space="preserve">Ogólne wiadomości o urządzeniach transportu bliskiego, 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Typy stosowanych wózków jezdniowych,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Budowa wózków jezdniowych podnośnikowych,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Czynności operatora przez rozpoczęciem i po zakończeniu pracy,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Czynności operatora w czasie pracy,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Wiadomości z zakresu ładunkoznawstwa,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 xml:space="preserve">Wymiana i bezpieczne użytkowanie butli gazowych, 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</w:rPr>
      </w:pPr>
      <w:r w:rsidRPr="00523ED5">
        <w:rPr>
          <w:rFonts w:cstheme="minorHAnsi"/>
        </w:rPr>
        <w:t>Zajęcia praktyczne,</w:t>
      </w:r>
    </w:p>
    <w:p w:rsidR="00523ED5" w:rsidRPr="00523ED5" w:rsidRDefault="00523ED5" w:rsidP="00523ED5">
      <w:pPr>
        <w:pStyle w:val="Akapitzlist"/>
        <w:numPr>
          <w:ilvl w:val="0"/>
          <w:numId w:val="13"/>
        </w:numPr>
        <w:spacing w:after="120" w:line="276" w:lineRule="auto"/>
        <w:ind w:left="714" w:hanging="357"/>
        <w:contextualSpacing w:val="0"/>
        <w:rPr>
          <w:rFonts w:cstheme="minorHAnsi"/>
        </w:rPr>
      </w:pPr>
      <w:r w:rsidRPr="00523ED5">
        <w:rPr>
          <w:rFonts w:cstheme="minorHAnsi"/>
        </w:rPr>
        <w:t xml:space="preserve">Zagadnienia związane z zieloną </w:t>
      </w:r>
      <w:bookmarkStart w:id="1" w:name="_Hlk161218726"/>
      <w:r w:rsidRPr="00523ED5">
        <w:rPr>
          <w:rFonts w:cstheme="minorHAnsi"/>
        </w:rPr>
        <w:t>i cyfrową transformacją</w:t>
      </w:r>
      <w:bookmarkEnd w:id="1"/>
      <w:r w:rsidRPr="00523ED5">
        <w:rPr>
          <w:rFonts w:cstheme="minorHAnsi"/>
        </w:rPr>
        <w:t>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lastRenderedPageBreak/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D6419">
        <w:rPr>
          <w:rFonts w:cs="Tahoma"/>
          <w:b/>
        </w:rPr>
        <w:t>3</w:t>
      </w:r>
      <w:r w:rsidR="00E07A44">
        <w:rPr>
          <w:rFonts w:cs="Tahoma"/>
          <w:b/>
        </w:rPr>
        <w:t>0</w:t>
      </w:r>
      <w:r w:rsidRPr="00744522">
        <w:rPr>
          <w:rFonts w:cs="Tahoma"/>
          <w:b/>
        </w:rPr>
        <w:t xml:space="preserve"> </w:t>
      </w:r>
      <w:r w:rsidR="00DA3019">
        <w:rPr>
          <w:rFonts w:cs="Tahoma"/>
          <w:b/>
        </w:rPr>
        <w:t>maja</w:t>
      </w:r>
      <w:r w:rsidRPr="00744522">
        <w:rPr>
          <w:rFonts w:cs="Tahoma"/>
          <w:b/>
        </w:rPr>
        <w:t xml:space="preserve"> 202</w:t>
      </w:r>
      <w:r w:rsidR="00DA3019">
        <w:rPr>
          <w:rFonts w:cs="Tahoma"/>
          <w:b/>
        </w:rPr>
        <w:t>5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lastRenderedPageBreak/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hyperlink r:id="rId8" w:history="1">
        <w:r w:rsidR="00DA3019" w:rsidRPr="00CE2E8A">
          <w:rPr>
            <w:rStyle w:val="Hipercze"/>
            <w:rFonts w:cs="Tahoma"/>
            <w:bCs/>
          </w:rPr>
          <w:t>krmi@praca.gov.pl</w:t>
        </w:r>
      </w:hyperlink>
      <w:r w:rsidR="00DA3019">
        <w:rPr>
          <w:rStyle w:val="Hipercze"/>
          <w:rFonts w:cs="Tahoma"/>
          <w:bCs/>
          <w:u w:val="none"/>
        </w:rPr>
        <w:t xml:space="preserve"> lub </w:t>
      </w:r>
      <w:hyperlink r:id="rId9" w:history="1">
        <w:r w:rsidR="00DA3019" w:rsidRPr="00804D0B">
          <w:rPr>
            <w:rStyle w:val="Hipercze"/>
            <w:bCs/>
            <w:iCs/>
          </w:rPr>
          <w:t>erojek@pupmiechow.pl</w:t>
        </w:r>
      </w:hyperlink>
      <w:r w:rsidR="002F4BC9" w:rsidRPr="00076202">
        <w:rPr>
          <w:rStyle w:val="Hipercze"/>
          <w:rFonts w:cs="Tahoma"/>
          <w:bCs/>
          <w:u w:val="none"/>
        </w:rPr>
        <w:t xml:space="preserve">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DA3019">
        <w:rPr>
          <w:rFonts w:cstheme="minorHAnsi"/>
          <w:b/>
          <w:bCs/>
        </w:rPr>
        <w:t>23</w:t>
      </w:r>
      <w:r w:rsidRPr="00B41709">
        <w:rPr>
          <w:rFonts w:cstheme="minorHAnsi"/>
          <w:b/>
          <w:bCs/>
        </w:rPr>
        <w:t xml:space="preserve"> .0</w:t>
      </w:r>
      <w:r w:rsidR="00DA3019">
        <w:rPr>
          <w:rFonts w:cstheme="minorHAnsi"/>
          <w:b/>
          <w:bCs/>
        </w:rPr>
        <w:t>4.2025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10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73" w:rsidRDefault="00505573" w:rsidP="001A6794">
      <w:pPr>
        <w:spacing w:after="0" w:line="240" w:lineRule="auto"/>
      </w:pPr>
      <w:r>
        <w:separator/>
      </w:r>
    </w:p>
  </w:endnote>
  <w:endnote w:type="continuationSeparator" w:id="0">
    <w:p w:rsidR="00505573" w:rsidRDefault="00505573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73" w:rsidRDefault="00505573" w:rsidP="001A6794">
      <w:pPr>
        <w:spacing w:after="0" w:line="240" w:lineRule="auto"/>
      </w:pPr>
      <w:r>
        <w:separator/>
      </w:r>
    </w:p>
  </w:footnote>
  <w:footnote w:type="continuationSeparator" w:id="0">
    <w:p w:rsidR="00505573" w:rsidRDefault="00505573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C1B85"/>
    <w:multiLevelType w:val="multilevel"/>
    <w:tmpl w:val="27CC4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06C1"/>
    <w:multiLevelType w:val="hybridMultilevel"/>
    <w:tmpl w:val="8FCE63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A64C2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05573"/>
    <w:rsid w:val="00523ED5"/>
    <w:rsid w:val="00525485"/>
    <w:rsid w:val="00534DF1"/>
    <w:rsid w:val="00542B9F"/>
    <w:rsid w:val="005F633C"/>
    <w:rsid w:val="00634431"/>
    <w:rsid w:val="00664E8A"/>
    <w:rsid w:val="006777CA"/>
    <w:rsid w:val="0068688F"/>
    <w:rsid w:val="00687C25"/>
    <w:rsid w:val="00744522"/>
    <w:rsid w:val="007744E3"/>
    <w:rsid w:val="007C6758"/>
    <w:rsid w:val="007C7EF8"/>
    <w:rsid w:val="007F473F"/>
    <w:rsid w:val="008C5887"/>
    <w:rsid w:val="00912AE6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A3019"/>
    <w:rsid w:val="00DD60EC"/>
    <w:rsid w:val="00DE588B"/>
    <w:rsid w:val="00DE6D7F"/>
    <w:rsid w:val="00E07A44"/>
    <w:rsid w:val="00E32DD2"/>
    <w:rsid w:val="00E569EB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rojek@pupmiech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jek@pu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18</cp:revision>
  <cp:lastPrinted>2023-02-17T11:03:00Z</cp:lastPrinted>
  <dcterms:created xsi:type="dcterms:W3CDTF">2023-02-17T10:57:00Z</dcterms:created>
  <dcterms:modified xsi:type="dcterms:W3CDTF">2025-04-16T07:24:00Z</dcterms:modified>
</cp:coreProperties>
</file>